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ascii="黑体" w:hAnsi="黑体" w:eastAsia="黑体"/>
          <w:b/>
          <w:sz w:val="36"/>
          <w:szCs w:val="36"/>
        </w:rPr>
      </w:pPr>
      <w:bookmarkStart w:id="0" w:name="_GoBack"/>
      <w:bookmarkEnd w:id="0"/>
      <w:r>
        <w:rPr>
          <w:rFonts w:hint="eastAsia" w:ascii="黑体" w:hAnsi="黑体" w:eastAsia="黑体"/>
          <w:b/>
          <w:sz w:val="36"/>
          <w:szCs w:val="36"/>
        </w:rPr>
        <w:t>储建学院各单位年终考核工作实施办法</w:t>
      </w:r>
    </w:p>
    <w:p>
      <w:pPr>
        <w:spacing w:line="360" w:lineRule="auto"/>
        <w:ind w:firstLine="480" w:firstLineChars="200"/>
        <w:rPr>
          <w:sz w:val="24"/>
          <w:szCs w:val="24"/>
        </w:rPr>
      </w:pPr>
      <w:r>
        <w:rPr>
          <w:rFonts w:hint="eastAsia"/>
          <w:sz w:val="24"/>
          <w:szCs w:val="24"/>
        </w:rPr>
        <w:t xml:space="preserve">为进一步加强和规范学院各单位年度考核工作，构建科学的考核体系，对各单位工作进行全面客观的评价，通过考核促进学院各项工作的全面进步和有效开展，特制定学院各单位年终考核实施办法，请各单位严格按照要求执行。 </w:t>
      </w:r>
    </w:p>
    <w:p>
      <w:pPr>
        <w:spacing w:line="360" w:lineRule="auto"/>
        <w:rPr>
          <w:b/>
          <w:sz w:val="24"/>
          <w:szCs w:val="24"/>
        </w:rPr>
      </w:pPr>
      <w:r>
        <w:rPr>
          <w:rFonts w:hint="eastAsia"/>
          <w:b/>
          <w:sz w:val="24"/>
          <w:szCs w:val="24"/>
        </w:rPr>
        <w:t xml:space="preserve">一、指导思想 </w:t>
      </w:r>
    </w:p>
    <w:p>
      <w:pPr>
        <w:spacing w:line="360" w:lineRule="auto"/>
        <w:ind w:firstLine="480" w:firstLineChars="200"/>
        <w:rPr>
          <w:sz w:val="24"/>
          <w:szCs w:val="24"/>
        </w:rPr>
      </w:pPr>
      <w:r>
        <w:rPr>
          <w:rFonts w:hint="eastAsia"/>
          <w:sz w:val="24"/>
          <w:szCs w:val="24"/>
        </w:rPr>
        <w:t>坚持科学发展观和正确的政绩观，坚持公平、公正、公开的原则，采取定性与定量结合、过程与目标结合、显性与隐性兼顾的考核形式，综合考虑单位的发展历史和职责差异，以及学科差异，比照单位的年度工作计划，重点考核工作实绩、工作特色、发展思路、改革措施等主要内容，强化责任意识，提高工作水平，推动学院事业的全面发展。</w:t>
      </w:r>
    </w:p>
    <w:p>
      <w:pPr>
        <w:spacing w:line="360" w:lineRule="auto"/>
        <w:rPr>
          <w:b/>
          <w:sz w:val="24"/>
          <w:szCs w:val="24"/>
        </w:rPr>
      </w:pPr>
      <w:r>
        <w:rPr>
          <w:rFonts w:hint="eastAsia"/>
          <w:b/>
          <w:sz w:val="24"/>
          <w:szCs w:val="24"/>
        </w:rPr>
        <w:t>二、组织实施</w:t>
      </w:r>
    </w:p>
    <w:p>
      <w:pPr>
        <w:spacing w:line="360" w:lineRule="auto"/>
        <w:ind w:firstLine="480" w:firstLineChars="200"/>
        <w:rPr>
          <w:sz w:val="24"/>
          <w:szCs w:val="24"/>
        </w:rPr>
      </w:pPr>
      <w:r>
        <w:rPr>
          <w:rFonts w:hint="eastAsia"/>
          <w:sz w:val="24"/>
          <w:szCs w:val="24"/>
        </w:rPr>
        <w:t xml:space="preserve">1. 各单位考核的领导工作由学院考核委员会负责。 </w:t>
      </w:r>
    </w:p>
    <w:p>
      <w:pPr>
        <w:spacing w:line="360" w:lineRule="auto"/>
        <w:ind w:firstLine="480" w:firstLineChars="200"/>
        <w:rPr>
          <w:sz w:val="24"/>
          <w:szCs w:val="24"/>
        </w:rPr>
      </w:pPr>
      <w:r>
        <w:rPr>
          <w:rFonts w:hint="eastAsia"/>
          <w:sz w:val="24"/>
          <w:szCs w:val="24"/>
        </w:rPr>
        <w:t xml:space="preserve">2. 考核委员会成员主要由学院党政领导主要负责人以及教授委员会成员组成，主要负责完成各部门考核工作的组织、协调和考核结果的公布。 </w:t>
      </w:r>
    </w:p>
    <w:p>
      <w:pPr>
        <w:spacing w:line="360" w:lineRule="auto"/>
        <w:rPr>
          <w:sz w:val="24"/>
          <w:szCs w:val="24"/>
        </w:rPr>
      </w:pPr>
      <w:r>
        <w:rPr>
          <w:sz w:val="24"/>
          <w:szCs w:val="24"/>
        </w:rPr>
        <w:t xml:space="preserve">    3. 参加考核的单位有六个行政系、学院办公室以及学生工作办公室。</w:t>
      </w:r>
    </w:p>
    <w:p>
      <w:pPr>
        <w:spacing w:line="360" w:lineRule="auto"/>
        <w:ind w:firstLine="480" w:firstLineChars="200"/>
        <w:rPr>
          <w:sz w:val="24"/>
          <w:szCs w:val="24"/>
        </w:rPr>
      </w:pPr>
      <w:r>
        <w:rPr>
          <w:sz w:val="24"/>
          <w:szCs w:val="24"/>
        </w:rPr>
        <w:t>4</w:t>
      </w:r>
      <w:r>
        <w:rPr>
          <w:rFonts w:hint="eastAsia"/>
          <w:sz w:val="24"/>
          <w:szCs w:val="24"/>
        </w:rPr>
        <w:t xml:space="preserve">. 各单位主要负责人以多媒体形式报告年度工作情况汇报，顺序随机抽取，汇报时间在15分钟以内。 </w:t>
      </w:r>
    </w:p>
    <w:p>
      <w:pPr>
        <w:spacing w:line="360" w:lineRule="auto"/>
        <w:rPr>
          <w:b/>
          <w:sz w:val="24"/>
          <w:szCs w:val="24"/>
        </w:rPr>
      </w:pPr>
      <w:r>
        <w:rPr>
          <w:rFonts w:hint="eastAsia"/>
          <w:b/>
          <w:sz w:val="24"/>
          <w:szCs w:val="24"/>
        </w:rPr>
        <w:t>三、考核评价内容</w:t>
      </w:r>
    </w:p>
    <w:p>
      <w:pPr>
        <w:spacing w:line="360" w:lineRule="auto"/>
        <w:ind w:firstLine="480" w:firstLineChars="200"/>
        <w:rPr>
          <w:sz w:val="24"/>
          <w:szCs w:val="24"/>
        </w:rPr>
      </w:pPr>
      <w:r>
        <w:rPr>
          <w:rFonts w:hint="eastAsia"/>
          <w:sz w:val="24"/>
          <w:szCs w:val="24"/>
        </w:rPr>
        <w:t xml:space="preserve">根据各单位工作性质和内容，分别按照以下方法考核评价： </w:t>
      </w:r>
    </w:p>
    <w:p>
      <w:pPr>
        <w:spacing w:line="360" w:lineRule="auto"/>
        <w:ind w:firstLine="480" w:firstLineChars="200"/>
        <w:rPr>
          <w:sz w:val="24"/>
          <w:szCs w:val="24"/>
        </w:rPr>
      </w:pPr>
      <w:r>
        <w:rPr>
          <w:rFonts w:hint="eastAsia"/>
          <w:sz w:val="24"/>
          <w:szCs w:val="24"/>
        </w:rPr>
        <w:t xml:space="preserve">1. 对各教学系的考核 </w:t>
      </w:r>
    </w:p>
    <w:p>
      <w:pPr>
        <w:spacing w:line="360" w:lineRule="auto"/>
        <w:rPr>
          <w:sz w:val="24"/>
          <w:szCs w:val="24"/>
        </w:rPr>
      </w:pPr>
    </w:p>
    <w:tbl>
      <w:tblPr>
        <w:tblW w:w="8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389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spacing w:line="360" w:lineRule="auto"/>
              <w:rPr>
                <w:sz w:val="24"/>
                <w:szCs w:val="24"/>
              </w:rPr>
            </w:pPr>
            <w:r>
              <w:rPr>
                <w:sz w:val="24"/>
                <w:szCs w:val="24"/>
              </w:rPr>
              <w:t>考核指标</w:t>
            </w:r>
          </w:p>
        </w:tc>
        <w:tc>
          <w:tcPr>
            <w:tcW w:w="3893" w:type="dxa"/>
            <w:vAlign w:val="top"/>
          </w:tcPr>
          <w:p>
            <w:pPr>
              <w:spacing w:line="360" w:lineRule="auto"/>
              <w:rPr>
                <w:sz w:val="24"/>
                <w:szCs w:val="24"/>
              </w:rPr>
            </w:pPr>
            <w:r>
              <w:rPr>
                <w:sz w:val="24"/>
                <w:szCs w:val="24"/>
              </w:rPr>
              <w:t>观测点</w:t>
            </w:r>
          </w:p>
        </w:tc>
        <w:tc>
          <w:tcPr>
            <w:tcW w:w="1638" w:type="dxa"/>
            <w:vAlign w:val="top"/>
          </w:tcPr>
          <w:p>
            <w:pPr>
              <w:spacing w:line="360" w:lineRule="auto"/>
              <w:rPr>
                <w:sz w:val="24"/>
                <w:szCs w:val="24"/>
              </w:rPr>
            </w:pPr>
            <w:r>
              <w:rPr>
                <w:sz w:val="24"/>
                <w:szCs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spacing w:line="360" w:lineRule="auto"/>
              <w:rPr>
                <w:sz w:val="24"/>
                <w:szCs w:val="24"/>
              </w:rPr>
            </w:pPr>
            <w:r>
              <w:rPr>
                <w:rFonts w:hint="eastAsia"/>
                <w:sz w:val="24"/>
                <w:szCs w:val="24"/>
              </w:rPr>
              <w:t>师资队伍建设</w:t>
            </w:r>
          </w:p>
        </w:tc>
        <w:tc>
          <w:tcPr>
            <w:tcW w:w="3893" w:type="dxa"/>
            <w:vAlign w:val="top"/>
          </w:tcPr>
          <w:p>
            <w:pPr>
              <w:pStyle w:val="3"/>
              <w:spacing w:line="360" w:lineRule="auto"/>
              <w:jc w:val="both"/>
              <w:rPr>
                <w:sz w:val="23"/>
                <w:szCs w:val="23"/>
              </w:rPr>
            </w:pPr>
            <w:r>
              <w:rPr>
                <w:sz w:val="23"/>
                <w:szCs w:val="23"/>
              </w:rPr>
              <w:t>1.</w:t>
            </w:r>
            <w:r>
              <w:rPr>
                <w:rFonts w:hint="eastAsia"/>
                <w:sz w:val="23"/>
                <w:szCs w:val="23"/>
              </w:rPr>
              <w:t>高层次人才引进；</w:t>
            </w:r>
            <w:r>
              <w:rPr>
                <w:sz w:val="23"/>
                <w:szCs w:val="23"/>
              </w:rPr>
              <w:t>2.</w:t>
            </w:r>
            <w:r>
              <w:rPr>
                <w:rFonts w:hint="eastAsia"/>
                <w:sz w:val="23"/>
                <w:szCs w:val="23"/>
              </w:rPr>
              <w:t>人才工程实施情况；</w:t>
            </w:r>
            <w:r>
              <w:rPr>
                <w:sz w:val="23"/>
                <w:szCs w:val="23"/>
              </w:rPr>
              <w:t>3.</w:t>
            </w:r>
            <w:r>
              <w:rPr>
                <w:rFonts w:hint="eastAsia"/>
                <w:sz w:val="23"/>
                <w:szCs w:val="23"/>
              </w:rPr>
              <w:t>团队引进与建设情况；</w:t>
            </w:r>
            <w:r>
              <w:rPr>
                <w:sz w:val="23"/>
                <w:szCs w:val="23"/>
              </w:rPr>
              <w:t>4.</w:t>
            </w:r>
            <w:r>
              <w:rPr>
                <w:rFonts w:hint="eastAsia"/>
                <w:sz w:val="23"/>
                <w:szCs w:val="23"/>
              </w:rPr>
              <w:t>教师招聘工作；</w:t>
            </w:r>
            <w:r>
              <w:rPr>
                <w:sz w:val="23"/>
                <w:szCs w:val="23"/>
              </w:rPr>
              <w:t>5.</w:t>
            </w:r>
            <w:r>
              <w:rPr>
                <w:rFonts w:hint="eastAsia"/>
                <w:sz w:val="23"/>
                <w:szCs w:val="23"/>
              </w:rPr>
              <w:t>教师培养与提高；</w:t>
            </w:r>
            <w:r>
              <w:rPr>
                <w:sz w:val="23"/>
                <w:szCs w:val="23"/>
              </w:rPr>
              <w:t>6.</w:t>
            </w:r>
            <w:r>
              <w:rPr>
                <w:rFonts w:hint="eastAsia"/>
                <w:sz w:val="23"/>
                <w:szCs w:val="23"/>
              </w:rPr>
              <w:t>特色工作。</w:t>
            </w:r>
            <w:r>
              <w:rPr>
                <w:sz w:val="23"/>
                <w:szCs w:val="23"/>
              </w:rPr>
              <w:t xml:space="preserve"> </w:t>
            </w:r>
          </w:p>
        </w:tc>
        <w:tc>
          <w:tcPr>
            <w:tcW w:w="1638" w:type="dxa"/>
            <w:vAlign w:val="top"/>
          </w:tcPr>
          <w:p>
            <w:pPr>
              <w:spacing w:line="360" w:lineRule="auto"/>
              <w:rPr>
                <w:sz w:val="24"/>
                <w:szCs w:val="24"/>
              </w:rPr>
            </w:pPr>
            <w:r>
              <w:rPr>
                <w:sz w:val="24"/>
                <w:szCs w:val="24"/>
              </w:rPr>
              <w:t>20</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pStyle w:val="3"/>
              <w:spacing w:line="360" w:lineRule="auto"/>
              <w:jc w:val="both"/>
              <w:rPr>
                <w:sz w:val="23"/>
                <w:szCs w:val="23"/>
              </w:rPr>
            </w:pPr>
            <w:r>
              <w:rPr>
                <w:rFonts w:hint="eastAsia"/>
                <w:sz w:val="23"/>
                <w:szCs w:val="23"/>
              </w:rPr>
              <w:t>人才培养：本科教育</w:t>
            </w:r>
          </w:p>
        </w:tc>
        <w:tc>
          <w:tcPr>
            <w:tcW w:w="3893" w:type="dxa"/>
            <w:vAlign w:val="top"/>
          </w:tcPr>
          <w:p>
            <w:pPr>
              <w:pStyle w:val="3"/>
              <w:spacing w:line="360" w:lineRule="auto"/>
              <w:jc w:val="both"/>
              <w:rPr>
                <w:sz w:val="23"/>
                <w:szCs w:val="23"/>
              </w:rPr>
            </w:pPr>
            <w:r>
              <w:rPr>
                <w:sz w:val="23"/>
                <w:szCs w:val="23"/>
              </w:rPr>
              <w:t>1.</w:t>
            </w:r>
            <w:r>
              <w:rPr>
                <w:rFonts w:hint="eastAsia"/>
                <w:sz w:val="23"/>
                <w:szCs w:val="23"/>
              </w:rPr>
              <w:t>教学任务完成情况；</w:t>
            </w:r>
            <w:r>
              <w:rPr>
                <w:sz w:val="23"/>
                <w:szCs w:val="23"/>
              </w:rPr>
              <w:t>2.</w:t>
            </w:r>
            <w:r>
              <w:rPr>
                <w:rFonts w:hint="eastAsia"/>
                <w:sz w:val="23"/>
                <w:szCs w:val="23"/>
              </w:rPr>
              <w:t>教学运行与管理；</w:t>
            </w:r>
            <w:r>
              <w:rPr>
                <w:sz w:val="23"/>
                <w:szCs w:val="23"/>
              </w:rPr>
              <w:t>3.</w:t>
            </w:r>
            <w:r>
              <w:rPr>
                <w:rFonts w:hint="eastAsia"/>
                <w:sz w:val="23"/>
                <w:szCs w:val="23"/>
              </w:rPr>
              <w:t>质量工程项目建设；</w:t>
            </w:r>
            <w:r>
              <w:rPr>
                <w:sz w:val="23"/>
                <w:szCs w:val="23"/>
              </w:rPr>
              <w:t>4.</w:t>
            </w:r>
            <w:r>
              <w:rPr>
                <w:rFonts w:hint="eastAsia"/>
                <w:sz w:val="23"/>
                <w:szCs w:val="23"/>
              </w:rPr>
              <w:t>实践教学和创新教育；</w:t>
            </w:r>
            <w:r>
              <w:rPr>
                <w:sz w:val="23"/>
                <w:szCs w:val="23"/>
              </w:rPr>
              <w:t>5.</w:t>
            </w:r>
            <w:r>
              <w:rPr>
                <w:rFonts w:hint="eastAsia"/>
                <w:sz w:val="23"/>
                <w:szCs w:val="23"/>
              </w:rPr>
              <w:t>教学质量与监控；</w:t>
            </w:r>
            <w:r>
              <w:rPr>
                <w:sz w:val="23"/>
                <w:szCs w:val="23"/>
              </w:rPr>
              <w:t>6.</w:t>
            </w:r>
            <w:r>
              <w:rPr>
                <w:rFonts w:hint="eastAsia"/>
                <w:sz w:val="23"/>
                <w:szCs w:val="23"/>
              </w:rPr>
              <w:t>教学研究与改革；</w:t>
            </w:r>
            <w:r>
              <w:rPr>
                <w:sz w:val="23"/>
                <w:szCs w:val="23"/>
              </w:rPr>
              <w:t>7.</w:t>
            </w:r>
            <w:r>
              <w:rPr>
                <w:rFonts w:hint="eastAsia"/>
                <w:sz w:val="23"/>
                <w:szCs w:val="23"/>
              </w:rPr>
              <w:t>工作特色和亮点。</w:t>
            </w:r>
            <w:r>
              <w:rPr>
                <w:sz w:val="23"/>
                <w:szCs w:val="23"/>
              </w:rPr>
              <w:t xml:space="preserve"> </w:t>
            </w:r>
          </w:p>
        </w:tc>
        <w:tc>
          <w:tcPr>
            <w:tcW w:w="1638" w:type="dxa"/>
            <w:vAlign w:val="top"/>
          </w:tcPr>
          <w:p>
            <w:pPr>
              <w:spacing w:line="360" w:lineRule="auto"/>
              <w:rPr>
                <w:sz w:val="24"/>
                <w:szCs w:val="24"/>
              </w:rPr>
            </w:pPr>
            <w:r>
              <w:rPr>
                <w:sz w:val="24"/>
                <w:szCs w:val="24"/>
              </w:rPr>
              <w:t>15</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pStyle w:val="3"/>
              <w:spacing w:line="360" w:lineRule="auto"/>
              <w:jc w:val="both"/>
              <w:rPr>
                <w:sz w:val="23"/>
                <w:szCs w:val="23"/>
              </w:rPr>
            </w:pPr>
            <w:r>
              <w:rPr>
                <w:rFonts w:hint="eastAsia"/>
                <w:sz w:val="23"/>
                <w:szCs w:val="23"/>
              </w:rPr>
              <w:t>人才培养：研究生教育</w:t>
            </w:r>
          </w:p>
        </w:tc>
        <w:tc>
          <w:tcPr>
            <w:tcW w:w="3893" w:type="dxa"/>
            <w:vAlign w:val="top"/>
          </w:tcPr>
          <w:p>
            <w:pPr>
              <w:pStyle w:val="3"/>
              <w:spacing w:line="360" w:lineRule="auto"/>
              <w:jc w:val="both"/>
              <w:rPr>
                <w:sz w:val="23"/>
                <w:szCs w:val="23"/>
              </w:rPr>
            </w:pPr>
            <w:r>
              <w:rPr>
                <w:sz w:val="23"/>
                <w:szCs w:val="23"/>
              </w:rPr>
              <w:t>1.</w:t>
            </w:r>
            <w:r>
              <w:rPr>
                <w:rFonts w:hint="eastAsia"/>
                <w:sz w:val="23"/>
                <w:szCs w:val="23"/>
              </w:rPr>
              <w:t>研究生招生工作；</w:t>
            </w:r>
            <w:r>
              <w:rPr>
                <w:sz w:val="23"/>
                <w:szCs w:val="23"/>
              </w:rPr>
              <w:t>2.</w:t>
            </w:r>
            <w:r>
              <w:rPr>
                <w:rFonts w:hint="eastAsia"/>
                <w:sz w:val="23"/>
                <w:szCs w:val="23"/>
              </w:rPr>
              <w:t>研究生培养质量体系建设；</w:t>
            </w:r>
            <w:r>
              <w:rPr>
                <w:sz w:val="23"/>
                <w:szCs w:val="23"/>
              </w:rPr>
              <w:t>3.</w:t>
            </w:r>
            <w:r>
              <w:rPr>
                <w:rFonts w:hint="eastAsia"/>
                <w:sz w:val="23"/>
                <w:szCs w:val="23"/>
              </w:rPr>
              <w:t>导师队伍及学位点建设。</w:t>
            </w:r>
          </w:p>
        </w:tc>
        <w:tc>
          <w:tcPr>
            <w:tcW w:w="1638" w:type="dxa"/>
            <w:vAlign w:val="top"/>
          </w:tcPr>
          <w:p>
            <w:pPr>
              <w:spacing w:line="360" w:lineRule="auto"/>
              <w:rPr>
                <w:sz w:val="24"/>
                <w:szCs w:val="24"/>
              </w:rPr>
            </w:pPr>
            <w:r>
              <w:rPr>
                <w:sz w:val="24"/>
                <w:szCs w:val="24"/>
              </w:rPr>
              <w:t>15</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pStyle w:val="3"/>
              <w:spacing w:line="360" w:lineRule="auto"/>
              <w:jc w:val="both"/>
              <w:rPr>
                <w:sz w:val="23"/>
                <w:szCs w:val="23"/>
              </w:rPr>
            </w:pPr>
            <w:r>
              <w:rPr>
                <w:rFonts w:hint="eastAsia"/>
                <w:sz w:val="23"/>
                <w:szCs w:val="23"/>
              </w:rPr>
              <w:t>科学研究与学科建设</w:t>
            </w:r>
            <w:r>
              <w:rPr>
                <w:sz w:val="23"/>
                <w:szCs w:val="23"/>
              </w:rPr>
              <w:t xml:space="preserve"> </w:t>
            </w:r>
          </w:p>
        </w:tc>
        <w:tc>
          <w:tcPr>
            <w:tcW w:w="3893" w:type="dxa"/>
            <w:vAlign w:val="top"/>
          </w:tcPr>
          <w:p>
            <w:pPr>
              <w:pStyle w:val="3"/>
              <w:spacing w:line="360" w:lineRule="auto"/>
              <w:jc w:val="both"/>
              <w:rPr>
                <w:sz w:val="23"/>
                <w:szCs w:val="23"/>
              </w:rPr>
            </w:pPr>
            <w:r>
              <w:rPr>
                <w:sz w:val="23"/>
                <w:szCs w:val="23"/>
              </w:rPr>
              <w:t>1.</w:t>
            </w:r>
            <w:r>
              <w:rPr>
                <w:rFonts w:hint="eastAsia"/>
                <w:sz w:val="23"/>
                <w:szCs w:val="23"/>
              </w:rPr>
              <w:t>科研平台建设；</w:t>
            </w:r>
            <w:r>
              <w:rPr>
                <w:sz w:val="23"/>
                <w:szCs w:val="23"/>
              </w:rPr>
              <w:t>2.</w:t>
            </w:r>
            <w:r>
              <w:rPr>
                <w:rFonts w:hint="eastAsia"/>
                <w:sz w:val="23"/>
                <w:szCs w:val="23"/>
              </w:rPr>
              <w:t>科研项目经费；</w:t>
            </w:r>
            <w:r>
              <w:rPr>
                <w:sz w:val="23"/>
                <w:szCs w:val="23"/>
              </w:rPr>
              <w:t>3.</w:t>
            </w:r>
            <w:r>
              <w:rPr>
                <w:rFonts w:hint="eastAsia"/>
                <w:sz w:val="23"/>
                <w:szCs w:val="23"/>
              </w:rPr>
              <w:t>科研成果奖励；</w:t>
            </w:r>
            <w:r>
              <w:rPr>
                <w:sz w:val="23"/>
                <w:szCs w:val="23"/>
              </w:rPr>
              <w:t>4.</w:t>
            </w:r>
            <w:r>
              <w:rPr>
                <w:rFonts w:hint="eastAsia"/>
                <w:sz w:val="23"/>
                <w:szCs w:val="23"/>
              </w:rPr>
              <w:t>学术交流会议；</w:t>
            </w:r>
            <w:r>
              <w:rPr>
                <w:sz w:val="23"/>
                <w:szCs w:val="23"/>
              </w:rPr>
              <w:t>5.</w:t>
            </w:r>
            <w:r>
              <w:rPr>
                <w:rFonts w:hint="eastAsia"/>
                <w:sz w:val="23"/>
                <w:szCs w:val="23"/>
              </w:rPr>
              <w:t>学科学位建设。</w:t>
            </w:r>
            <w:r>
              <w:rPr>
                <w:sz w:val="23"/>
                <w:szCs w:val="23"/>
              </w:rPr>
              <w:t xml:space="preserve"> </w:t>
            </w:r>
          </w:p>
        </w:tc>
        <w:tc>
          <w:tcPr>
            <w:tcW w:w="1638" w:type="dxa"/>
            <w:vAlign w:val="top"/>
          </w:tcPr>
          <w:p>
            <w:pPr>
              <w:spacing w:line="360" w:lineRule="auto"/>
              <w:rPr>
                <w:sz w:val="24"/>
                <w:szCs w:val="24"/>
              </w:rPr>
            </w:pPr>
            <w:r>
              <w:rPr>
                <w:rFonts w:hint="eastAs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pStyle w:val="3"/>
              <w:spacing w:line="360" w:lineRule="auto"/>
              <w:jc w:val="both"/>
              <w:rPr>
                <w:sz w:val="23"/>
                <w:szCs w:val="23"/>
              </w:rPr>
            </w:pPr>
            <w:r>
              <w:rPr>
                <w:rFonts w:hint="eastAsia"/>
                <w:sz w:val="23"/>
                <w:szCs w:val="23"/>
              </w:rPr>
              <w:t>对外交流与社会服务</w:t>
            </w:r>
          </w:p>
        </w:tc>
        <w:tc>
          <w:tcPr>
            <w:tcW w:w="3893" w:type="dxa"/>
            <w:vAlign w:val="top"/>
          </w:tcPr>
          <w:p>
            <w:pPr>
              <w:pStyle w:val="3"/>
              <w:spacing w:line="360" w:lineRule="auto"/>
              <w:jc w:val="both"/>
              <w:rPr>
                <w:sz w:val="23"/>
                <w:szCs w:val="23"/>
              </w:rPr>
            </w:pPr>
            <w:r>
              <w:rPr>
                <w:sz w:val="23"/>
                <w:szCs w:val="23"/>
              </w:rPr>
              <w:t>1.</w:t>
            </w:r>
            <w:r>
              <w:rPr>
                <w:rFonts w:hint="eastAsia"/>
                <w:sz w:val="23"/>
                <w:szCs w:val="23"/>
              </w:rPr>
              <w:t>师资国际学术与学科交流情况；</w:t>
            </w:r>
            <w:r>
              <w:rPr>
                <w:sz w:val="23"/>
                <w:szCs w:val="23"/>
              </w:rPr>
              <w:t>2.</w:t>
            </w:r>
            <w:r>
              <w:rPr>
                <w:rFonts w:hint="eastAsia"/>
                <w:sz w:val="23"/>
                <w:szCs w:val="23"/>
              </w:rPr>
              <w:t>学生国际交流情况；</w:t>
            </w:r>
            <w:r>
              <w:rPr>
                <w:sz w:val="23"/>
                <w:szCs w:val="23"/>
              </w:rPr>
              <w:t>3.</w:t>
            </w:r>
            <w:r>
              <w:rPr>
                <w:rFonts w:hint="eastAsia"/>
                <w:sz w:val="23"/>
                <w:szCs w:val="23"/>
              </w:rPr>
              <w:t>各类外专项目申报与执行情况；</w:t>
            </w:r>
            <w:r>
              <w:rPr>
                <w:sz w:val="23"/>
                <w:szCs w:val="23"/>
              </w:rPr>
              <w:t>4.</w:t>
            </w:r>
            <w:r>
              <w:rPr>
                <w:rFonts w:hint="eastAsia"/>
                <w:sz w:val="23"/>
                <w:szCs w:val="23"/>
              </w:rPr>
              <w:t>国际合作项目与国际会议；</w:t>
            </w:r>
            <w:r>
              <w:rPr>
                <w:sz w:val="23"/>
                <w:szCs w:val="23"/>
              </w:rPr>
              <w:t>5.</w:t>
            </w:r>
            <w:r>
              <w:rPr>
                <w:rFonts w:hint="eastAsia"/>
                <w:sz w:val="23"/>
                <w:szCs w:val="23"/>
              </w:rPr>
              <w:t>社会服务与校友工作。</w:t>
            </w:r>
            <w:r>
              <w:rPr>
                <w:sz w:val="23"/>
                <w:szCs w:val="23"/>
              </w:rPr>
              <w:t xml:space="preserve"> </w:t>
            </w:r>
          </w:p>
        </w:tc>
        <w:tc>
          <w:tcPr>
            <w:tcW w:w="1638" w:type="dxa"/>
            <w:vAlign w:val="top"/>
          </w:tcPr>
          <w:p>
            <w:pPr>
              <w:spacing w:line="360" w:lineRule="auto"/>
              <w:rPr>
                <w:sz w:val="24"/>
                <w:szCs w:val="24"/>
              </w:rPr>
            </w:pPr>
            <w:r>
              <w:rPr>
                <w:rFonts w:hint="eastAsia"/>
                <w:sz w:val="24"/>
                <w:szCs w:val="24"/>
              </w:rPr>
              <w:t>1</w:t>
            </w:r>
            <w:r>
              <w:rPr>
                <w:sz w:val="24"/>
                <w:szCs w:val="24"/>
              </w:rPr>
              <w:t>0</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spacing w:line="360" w:lineRule="auto"/>
              <w:rPr>
                <w:sz w:val="24"/>
                <w:szCs w:val="24"/>
              </w:rPr>
            </w:pPr>
            <w:r>
              <w:rPr>
                <w:sz w:val="24"/>
                <w:szCs w:val="24"/>
              </w:rPr>
              <w:t>实验室建设</w:t>
            </w:r>
          </w:p>
        </w:tc>
        <w:tc>
          <w:tcPr>
            <w:tcW w:w="3893" w:type="dxa"/>
            <w:vAlign w:val="top"/>
          </w:tcPr>
          <w:p>
            <w:pPr>
              <w:spacing w:line="360" w:lineRule="auto"/>
              <w:rPr>
                <w:sz w:val="24"/>
                <w:szCs w:val="24"/>
              </w:rPr>
            </w:pPr>
            <w:r>
              <w:rPr>
                <w:rFonts w:hint="eastAsia"/>
                <w:sz w:val="24"/>
                <w:szCs w:val="24"/>
              </w:rPr>
              <w:t>1、投资完成情况；2、实验室管理；3、实验室安全；4、实验室平台建设</w:t>
            </w:r>
          </w:p>
        </w:tc>
        <w:tc>
          <w:tcPr>
            <w:tcW w:w="1638" w:type="dxa"/>
            <w:vAlign w:val="top"/>
          </w:tcPr>
          <w:p>
            <w:pPr>
              <w:spacing w:line="360" w:lineRule="auto"/>
              <w:rPr>
                <w:sz w:val="24"/>
                <w:szCs w:val="24"/>
              </w:rPr>
            </w:pPr>
            <w:r>
              <w:rPr>
                <w:rFonts w:hint="eastAsia"/>
                <w:sz w:val="24"/>
                <w:szCs w:val="24"/>
              </w:rPr>
              <w:t>1</w:t>
            </w:r>
            <w:r>
              <w:rPr>
                <w:sz w:val="24"/>
                <w:szCs w:val="24"/>
              </w:rPr>
              <w:t>0</w:t>
            </w:r>
            <w:r>
              <w:rPr>
                <w:rFonts w:hint="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765" w:type="dxa"/>
            <w:vAlign w:val="top"/>
          </w:tcPr>
          <w:p>
            <w:pPr>
              <w:spacing w:line="360" w:lineRule="auto"/>
              <w:rPr>
                <w:sz w:val="24"/>
                <w:szCs w:val="24"/>
              </w:rPr>
            </w:pPr>
            <w:r>
              <w:rPr>
                <w:sz w:val="24"/>
                <w:szCs w:val="24"/>
              </w:rPr>
              <w:t>工会活动</w:t>
            </w:r>
          </w:p>
        </w:tc>
        <w:tc>
          <w:tcPr>
            <w:tcW w:w="3893" w:type="dxa"/>
            <w:vAlign w:val="top"/>
          </w:tcPr>
          <w:p>
            <w:pPr>
              <w:spacing w:line="360" w:lineRule="auto"/>
              <w:rPr>
                <w:sz w:val="24"/>
                <w:szCs w:val="24"/>
              </w:rPr>
            </w:pPr>
            <w:r>
              <w:rPr>
                <w:rFonts w:hint="eastAsia"/>
                <w:sz w:val="24"/>
                <w:szCs w:val="24"/>
              </w:rPr>
              <w:t>1、工会组织活动情况；2、职工参加情况；</w:t>
            </w:r>
          </w:p>
        </w:tc>
        <w:tc>
          <w:tcPr>
            <w:tcW w:w="1638" w:type="dxa"/>
            <w:vAlign w:val="top"/>
          </w:tcPr>
          <w:p>
            <w:pPr>
              <w:spacing w:line="360" w:lineRule="auto"/>
              <w:rPr>
                <w:sz w:val="24"/>
                <w:szCs w:val="24"/>
              </w:rPr>
            </w:pPr>
            <w:r>
              <w:rPr>
                <w:sz w:val="24"/>
                <w:szCs w:val="24"/>
              </w:rPr>
              <w:t>10%</w:t>
            </w:r>
          </w:p>
        </w:tc>
      </w:tr>
    </w:tbl>
    <w:p>
      <w:pPr>
        <w:spacing w:line="360" w:lineRule="auto"/>
        <w:rPr>
          <w:sz w:val="24"/>
          <w:szCs w:val="24"/>
        </w:rPr>
      </w:pPr>
    </w:p>
    <w:p>
      <w:pPr>
        <w:spacing w:line="360" w:lineRule="auto"/>
        <w:rPr>
          <w:b/>
          <w:sz w:val="24"/>
          <w:szCs w:val="24"/>
        </w:rPr>
      </w:pPr>
      <w:r>
        <w:rPr>
          <w:b/>
          <w:sz w:val="24"/>
          <w:szCs w:val="24"/>
        </w:rPr>
        <w:t>四、考核结果及奖励办法</w:t>
      </w:r>
    </w:p>
    <w:p>
      <w:pPr>
        <w:spacing w:line="360" w:lineRule="auto"/>
        <w:ind w:firstLine="480" w:firstLineChars="200"/>
        <w:rPr>
          <w:sz w:val="24"/>
          <w:szCs w:val="24"/>
        </w:rPr>
      </w:pPr>
      <w:r>
        <w:rPr>
          <w:rFonts w:hint="eastAsia"/>
          <w:sz w:val="24"/>
          <w:szCs w:val="24"/>
        </w:rPr>
        <w:t>1．年度考核总分列前3名的单位由学院颁发年度考核优秀奖，优先推荐参加校级以上优秀的先进集体评选。 第一名奖励奖金3万元，第二名奖励奖金2万元，第三名奖励奖金1万元。</w:t>
      </w:r>
    </w:p>
    <w:p>
      <w:pPr>
        <w:spacing w:line="360" w:lineRule="auto"/>
        <w:ind w:firstLine="480" w:firstLineChars="200"/>
        <w:rPr>
          <w:sz w:val="24"/>
          <w:szCs w:val="24"/>
        </w:rPr>
      </w:pPr>
      <w:r>
        <w:rPr>
          <w:rFonts w:hint="eastAsia"/>
          <w:sz w:val="24"/>
          <w:szCs w:val="24"/>
        </w:rPr>
        <w:t xml:space="preserve">2. 年度考核总分列最后两名的单位由学院与单位主要负责人联系分析查找原因，提出努力方向及整改措施。 </w:t>
      </w:r>
    </w:p>
    <w:p>
      <w:pPr>
        <w:spacing w:line="360" w:lineRule="auto"/>
        <w:rPr>
          <w:b/>
          <w:sz w:val="24"/>
          <w:szCs w:val="24"/>
        </w:rPr>
      </w:pPr>
      <w:r>
        <w:rPr>
          <w:rFonts w:hint="eastAsia"/>
          <w:b/>
          <w:sz w:val="24"/>
          <w:szCs w:val="24"/>
        </w:rPr>
        <w:t xml:space="preserve">五、其他 </w:t>
      </w:r>
    </w:p>
    <w:p>
      <w:pPr>
        <w:spacing w:line="360" w:lineRule="auto"/>
        <w:ind w:firstLine="480" w:firstLineChars="200"/>
        <w:rPr>
          <w:sz w:val="24"/>
          <w:szCs w:val="24"/>
        </w:rPr>
      </w:pPr>
      <w:r>
        <w:rPr>
          <w:rFonts w:hint="eastAsia"/>
          <w:sz w:val="24"/>
          <w:szCs w:val="24"/>
        </w:rPr>
        <w:t xml:space="preserve">各单位要高度重视年度考核工作，认真总结经验，查找不足，对考核结果进行认真分析，破解难题，加快发展，为学院发展做出贡献。 </w:t>
      </w:r>
    </w:p>
    <w:p>
      <w:pPr>
        <w:spacing w:line="360" w:lineRule="auto"/>
        <w:rPr>
          <w:sz w:val="24"/>
          <w:szCs w:val="24"/>
        </w:rPr>
      </w:pPr>
      <w:r>
        <w:rPr>
          <w:rFonts w:hint="eastAsia"/>
          <w:sz w:val="24"/>
          <w:szCs w:val="24"/>
        </w:rPr>
        <w:t xml:space="preserve">                                储运与建筑过程学院</w:t>
      </w:r>
    </w:p>
    <w:p>
      <w:pPr>
        <w:spacing w:line="360" w:lineRule="auto"/>
        <w:ind w:firstLine="4080" w:firstLineChars="1700"/>
        <w:rPr>
          <w:sz w:val="24"/>
          <w:szCs w:val="24"/>
        </w:rPr>
      </w:pPr>
      <w:r>
        <w:rPr>
          <w:rFonts w:hint="eastAsia"/>
          <w:sz w:val="24"/>
          <w:szCs w:val="24"/>
        </w:rPr>
        <w:t>2014年6月21日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Calibri Light">
    <w:altName w:val="Calibri"/>
    <w:panose1 w:val="020F0302020204030204"/>
    <w:charset w:val="00"/>
    <w:family w:val="auto"/>
    <w:pitch w:val="default"/>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nhideWhenUsed/>
    <w:uiPriority w:val="1"/>
  </w:style>
  <w:style w:type="paragraph" w:customStyle="1" w:styleId="3">
    <w:name w:val="Default"/>
    <w:uiPriority w:val="0"/>
    <w:pPr>
      <w:widowControl w:val="0"/>
      <w:autoSpaceDE w:val="0"/>
      <w:autoSpaceDN w:val="0"/>
      <w:adjustRightInd w:val="0"/>
    </w:pPr>
    <w:rPr>
      <w:rFonts w:ascii="宋体" w:eastAsia="宋体" w:cs="宋体"/>
      <w:color w:val="000000"/>
      <w:kern w:val="0"/>
      <w:sz w:val="24"/>
      <w:szCs w:val="24"/>
    </w:r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UPC</Company>
  <Pages>2</Pages>
  <Words>185</Words>
  <Characters>1055</Characters>
  <Lines>8</Lines>
  <Paragraphs>2</Paragraphs>
  <TotalTime>0</TotalTime>
  <ScaleCrop>false</ScaleCrop>
  <LinksUpToDate>false</LinksUpToDate>
  <CharactersWithSpaces>0</CharactersWithSpaces>
  <Application>WPS Office 个人版_9.1.0.4567_{F1E327BC-269C-435d-A152-05C5408002CA}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2014-01-22T11:33:00Z</dcterms:created>
  <dc:creator>liyuxing</dc:creator>
  <cp:lastModifiedBy>Administrator</cp:lastModifiedBy>
  <dcterms:modified xsi:type="dcterms:W3CDTF">2014-06-19T01:25:49Z</dcterms:modified>
  <dc:title>储建学院各单位年终考核工作实施办法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